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64D" w:rsidRPr="00560375" w:rsidRDefault="0072064D" w:rsidP="0072064D">
      <w:pPr>
        <w:pStyle w:val="Heading2"/>
        <w:jc w:val="center"/>
        <w:rPr>
          <w:rFonts w:ascii="Times New Roman" w:hAnsi="Times New Roman" w:cs="Times New Roman"/>
          <w:sz w:val="24"/>
          <w:szCs w:val="24"/>
        </w:rPr>
      </w:pPr>
      <w:r w:rsidRPr="00560375">
        <w:rPr>
          <w:rFonts w:ascii="Times New Roman" w:hAnsi="Times New Roman" w:cs="Times New Roman"/>
          <w:sz w:val="24"/>
          <w:szCs w:val="24"/>
        </w:rPr>
        <w:t xml:space="preserve">"Preparing for the </w:t>
      </w:r>
      <w:proofErr w:type="spellStart"/>
      <w:r w:rsidRPr="00560375">
        <w:rPr>
          <w:rFonts w:ascii="Times New Roman" w:hAnsi="Times New Roman" w:cs="Times New Roman"/>
          <w:sz w:val="24"/>
          <w:szCs w:val="24"/>
        </w:rPr>
        <w:t>Promuex</w:t>
      </w:r>
      <w:proofErr w:type="spellEnd"/>
      <w:r w:rsidRPr="00560375">
        <w:rPr>
          <w:rFonts w:ascii="Times New Roman" w:hAnsi="Times New Roman" w:cs="Times New Roman"/>
          <w:sz w:val="24"/>
          <w:szCs w:val="24"/>
        </w:rPr>
        <w:t xml:space="preserve"> Inc. Global Professional Certificate: Essential Knowledge and Skills Checklist"</w:t>
      </w:r>
    </w:p>
    <w:p w:rsidR="0072064D" w:rsidRPr="00560375" w:rsidRDefault="0072064D" w:rsidP="0072064D">
      <w:pPr>
        <w:pStyle w:val="NormalWeb"/>
        <w:spacing w:line="276" w:lineRule="auto"/>
        <w:jc w:val="both"/>
      </w:pPr>
      <w:r w:rsidRPr="00560375">
        <w:rPr>
          <w:rStyle w:val="Strong"/>
        </w:rPr>
        <w:t>Overview:</w:t>
      </w:r>
      <w:r w:rsidRPr="00560375">
        <w:t xml:space="preserve"> The </w:t>
      </w:r>
      <w:proofErr w:type="spellStart"/>
      <w:r w:rsidRPr="00560375">
        <w:t>Promuex</w:t>
      </w:r>
      <w:proofErr w:type="spellEnd"/>
      <w:r w:rsidRPr="00560375">
        <w:t xml:space="preserve"> (Canada) Global Professional Certificate recognizes expertise across specialized fields like AI, </w:t>
      </w:r>
      <w:proofErr w:type="spellStart"/>
      <w:r w:rsidRPr="00560375">
        <w:t>cybersecurity</w:t>
      </w:r>
      <w:proofErr w:type="spellEnd"/>
      <w:r w:rsidRPr="00560375">
        <w:t>, healthcare, and finance. To excel, you’ll need foundational skills, knowledge of industry tools, and practical experience. Here’s what to focus on before certification:</w:t>
      </w:r>
    </w:p>
    <w:p w:rsidR="00560375" w:rsidRPr="00560375" w:rsidRDefault="00560375" w:rsidP="00560375">
      <w:pPr>
        <w:pStyle w:val="Heading1"/>
        <w:shd w:val="clear" w:color="auto" w:fill="FFFFFF"/>
        <w:spacing w:after="206"/>
        <w:jc w:val="center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 w:rsidRPr="00560375">
        <w:rPr>
          <w:rStyle w:val="Strong"/>
          <w:rFonts w:ascii="Times New Roman" w:hAnsi="Times New Roman" w:cs="Times New Roman"/>
          <w:b/>
          <w:bCs/>
          <w:color w:val="404040"/>
          <w:sz w:val="24"/>
          <w:szCs w:val="24"/>
          <w:highlight w:val="yellow"/>
        </w:rPr>
        <w:t>Master Professional Landlord &amp; Property Manager Certification Program</w:t>
      </w:r>
    </w:p>
    <w:p w:rsidR="00560375" w:rsidRPr="00560375" w:rsidRDefault="00560375" w:rsidP="00560375">
      <w:pPr>
        <w:pStyle w:val="Heading2"/>
        <w:shd w:val="clear" w:color="auto" w:fill="FFFFFF"/>
        <w:spacing w:before="274" w:after="206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 w:rsidRPr="00560375">
        <w:rPr>
          <w:rStyle w:val="Strong"/>
          <w:rFonts w:ascii="Times New Roman" w:hAnsi="Times New Roman" w:cs="Times New Roman"/>
          <w:b/>
          <w:bCs/>
          <w:color w:val="404040"/>
          <w:sz w:val="24"/>
          <w:szCs w:val="24"/>
        </w:rPr>
        <w:t>Program Overview &amp; Learning Outcomes</w:t>
      </w:r>
    </w:p>
    <w:p w:rsidR="00560375" w:rsidRPr="00560375" w:rsidRDefault="00B92AD0" w:rsidP="00560375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 w:rsidRPr="00560375">
        <w:rPr>
          <w:color w:val="404040"/>
        </w:rPr>
        <w:t>This</w:t>
      </w:r>
      <w:r>
        <w:rPr>
          <w:color w:val="404040"/>
        </w:rPr>
        <w:t xml:space="preserve"> </w:t>
      </w:r>
      <w:r w:rsidR="00560375" w:rsidRPr="00560375">
        <w:rPr>
          <w:color w:val="404040"/>
        </w:rPr>
        <w:t>intensive certification transforms participants into expert-level property professionals through a comprehensive curriculum covering:</w:t>
      </w:r>
    </w:p>
    <w:p w:rsidR="00560375" w:rsidRPr="00560375" w:rsidRDefault="00560375" w:rsidP="00560375">
      <w:pPr>
        <w:pStyle w:val="Heading3"/>
        <w:shd w:val="clear" w:color="auto" w:fill="FFFFFF"/>
        <w:spacing w:before="274" w:beforeAutospacing="0" w:after="206" w:afterAutospacing="0"/>
        <w:rPr>
          <w:b w:val="0"/>
          <w:bCs w:val="0"/>
          <w:color w:val="404040"/>
          <w:sz w:val="24"/>
          <w:szCs w:val="24"/>
        </w:rPr>
      </w:pPr>
      <w:r w:rsidRPr="00560375">
        <w:rPr>
          <w:rStyle w:val="Strong"/>
          <w:b/>
          <w:bCs/>
          <w:color w:val="404040"/>
          <w:sz w:val="24"/>
          <w:szCs w:val="24"/>
        </w:rPr>
        <w:t>Core Competencies Developed</w:t>
      </w:r>
    </w:p>
    <w:p w:rsidR="00560375" w:rsidRPr="00560375" w:rsidRDefault="00560375" w:rsidP="00EE6FF2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60" w:afterAutospacing="0" w:line="429" w:lineRule="atLeast"/>
        <w:ind w:left="0"/>
        <w:rPr>
          <w:color w:val="404040"/>
        </w:rPr>
      </w:pPr>
      <w:r w:rsidRPr="00560375">
        <w:rPr>
          <w:rStyle w:val="Strong"/>
          <w:color w:val="404040"/>
        </w:rPr>
        <w:t>Regulatory Mastery</w:t>
      </w:r>
    </w:p>
    <w:p w:rsidR="00560375" w:rsidRPr="00560375" w:rsidRDefault="00560375" w:rsidP="00EE6FF2">
      <w:pPr>
        <w:pStyle w:val="ds-markdown-paragraph"/>
        <w:numPr>
          <w:ilvl w:val="1"/>
          <w:numId w:val="1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Navigate complex federal/state/local housing laws</w:t>
      </w:r>
    </w:p>
    <w:p w:rsidR="00560375" w:rsidRPr="00560375" w:rsidRDefault="00560375" w:rsidP="00EE6FF2">
      <w:pPr>
        <w:pStyle w:val="ds-markdown-paragraph"/>
        <w:numPr>
          <w:ilvl w:val="1"/>
          <w:numId w:val="1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Implement legally defensible tenant screening processes</w:t>
      </w:r>
    </w:p>
    <w:p w:rsidR="00560375" w:rsidRPr="00560375" w:rsidRDefault="00560375" w:rsidP="00EE6FF2">
      <w:pPr>
        <w:pStyle w:val="ds-markdown-paragraph"/>
        <w:numPr>
          <w:ilvl w:val="1"/>
          <w:numId w:val="1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Execute compliant eviction proceedings</w:t>
      </w:r>
    </w:p>
    <w:p w:rsidR="00560375" w:rsidRPr="00560375" w:rsidRDefault="00560375" w:rsidP="00EE6FF2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60" w:afterAutospacing="0" w:line="429" w:lineRule="atLeast"/>
        <w:ind w:left="0"/>
        <w:rPr>
          <w:color w:val="404040"/>
        </w:rPr>
      </w:pPr>
      <w:r w:rsidRPr="00560375">
        <w:rPr>
          <w:rStyle w:val="Strong"/>
          <w:color w:val="404040"/>
        </w:rPr>
        <w:t>Financial Optimization</w:t>
      </w:r>
    </w:p>
    <w:p w:rsidR="00560375" w:rsidRPr="00560375" w:rsidRDefault="00560375" w:rsidP="00EE6FF2">
      <w:pPr>
        <w:pStyle w:val="ds-markdown-paragraph"/>
        <w:numPr>
          <w:ilvl w:val="1"/>
          <w:numId w:val="1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Conduct institutional-grade property underwriting</w:t>
      </w:r>
    </w:p>
    <w:p w:rsidR="00560375" w:rsidRPr="00560375" w:rsidRDefault="00560375" w:rsidP="00EE6FF2">
      <w:pPr>
        <w:pStyle w:val="ds-markdown-paragraph"/>
        <w:numPr>
          <w:ilvl w:val="1"/>
          <w:numId w:val="1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Structure tax-advantaged ownership entities</w:t>
      </w:r>
    </w:p>
    <w:p w:rsidR="00560375" w:rsidRPr="00560375" w:rsidRDefault="00560375" w:rsidP="00EE6FF2">
      <w:pPr>
        <w:pStyle w:val="ds-markdown-paragraph"/>
        <w:numPr>
          <w:ilvl w:val="1"/>
          <w:numId w:val="1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Implement value-add renovation strategies</w:t>
      </w:r>
    </w:p>
    <w:p w:rsidR="00560375" w:rsidRPr="00560375" w:rsidRDefault="00560375" w:rsidP="00EE6FF2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60" w:afterAutospacing="0" w:line="429" w:lineRule="atLeast"/>
        <w:ind w:left="0"/>
        <w:rPr>
          <w:color w:val="404040"/>
        </w:rPr>
      </w:pPr>
      <w:r w:rsidRPr="00560375">
        <w:rPr>
          <w:rStyle w:val="Strong"/>
          <w:color w:val="404040"/>
        </w:rPr>
        <w:t>Operational Excellence</w:t>
      </w:r>
    </w:p>
    <w:p w:rsidR="00560375" w:rsidRPr="00560375" w:rsidRDefault="00560375" w:rsidP="00EE6FF2">
      <w:pPr>
        <w:pStyle w:val="ds-markdown-paragraph"/>
        <w:numPr>
          <w:ilvl w:val="1"/>
          <w:numId w:val="1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Develop professional-grade management systems</w:t>
      </w:r>
    </w:p>
    <w:p w:rsidR="00560375" w:rsidRPr="00560375" w:rsidRDefault="00560375" w:rsidP="00EE6FF2">
      <w:pPr>
        <w:pStyle w:val="ds-markdown-paragraph"/>
        <w:numPr>
          <w:ilvl w:val="1"/>
          <w:numId w:val="1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 xml:space="preserve">Implement </w:t>
      </w:r>
      <w:proofErr w:type="spellStart"/>
      <w:r w:rsidRPr="00560375">
        <w:rPr>
          <w:color w:val="404040"/>
        </w:rPr>
        <w:t>proptech</w:t>
      </w:r>
      <w:proofErr w:type="spellEnd"/>
      <w:r w:rsidRPr="00560375">
        <w:rPr>
          <w:color w:val="404040"/>
        </w:rPr>
        <w:t xml:space="preserve"> solutions for efficiency</w:t>
      </w:r>
    </w:p>
    <w:p w:rsidR="00560375" w:rsidRPr="00560375" w:rsidRDefault="00560375" w:rsidP="00EE6FF2">
      <w:pPr>
        <w:pStyle w:val="ds-markdown-paragraph"/>
        <w:numPr>
          <w:ilvl w:val="1"/>
          <w:numId w:val="1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lastRenderedPageBreak/>
        <w:t>Create scalable maintenance protocols</w:t>
      </w:r>
    </w:p>
    <w:p w:rsidR="00560375" w:rsidRPr="00560375" w:rsidRDefault="00560375" w:rsidP="00EE6FF2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60" w:afterAutospacing="0" w:line="429" w:lineRule="atLeast"/>
        <w:ind w:left="0"/>
        <w:rPr>
          <w:color w:val="404040"/>
        </w:rPr>
      </w:pPr>
      <w:r w:rsidRPr="00560375">
        <w:rPr>
          <w:rStyle w:val="Strong"/>
          <w:color w:val="404040"/>
        </w:rPr>
        <w:t>Portfolio Growth</w:t>
      </w:r>
    </w:p>
    <w:p w:rsidR="00560375" w:rsidRPr="00560375" w:rsidRDefault="00560375" w:rsidP="00EE6FF2">
      <w:pPr>
        <w:pStyle w:val="ds-markdown-paragraph"/>
        <w:numPr>
          <w:ilvl w:val="1"/>
          <w:numId w:val="1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Execute 1031 exchanges</w:t>
      </w:r>
    </w:p>
    <w:p w:rsidR="00560375" w:rsidRPr="00560375" w:rsidRDefault="00560375" w:rsidP="00EE6FF2">
      <w:pPr>
        <w:pStyle w:val="ds-markdown-paragraph"/>
        <w:numPr>
          <w:ilvl w:val="1"/>
          <w:numId w:val="1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Transition from SFR to multi-family assets</w:t>
      </w:r>
    </w:p>
    <w:p w:rsidR="00560375" w:rsidRPr="00560375" w:rsidRDefault="00560375" w:rsidP="00EE6FF2">
      <w:pPr>
        <w:pStyle w:val="ds-markdown-paragraph"/>
        <w:numPr>
          <w:ilvl w:val="1"/>
          <w:numId w:val="1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Build institutional relationships</w:t>
      </w:r>
    </w:p>
    <w:p w:rsidR="00560375" w:rsidRPr="00560375" w:rsidRDefault="00560375" w:rsidP="00560375">
      <w:pPr>
        <w:pStyle w:val="Heading2"/>
        <w:shd w:val="clear" w:color="auto" w:fill="FFFFFF"/>
        <w:spacing w:before="274" w:after="206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 w:rsidRPr="00560375">
        <w:rPr>
          <w:rStyle w:val="Strong"/>
          <w:rFonts w:ascii="Times New Roman" w:hAnsi="Times New Roman" w:cs="Times New Roman"/>
          <w:b/>
          <w:bCs/>
          <w:color w:val="404040"/>
          <w:sz w:val="24"/>
          <w:szCs w:val="24"/>
        </w:rPr>
        <w:t>Detailed Course Breakdown</w:t>
      </w:r>
    </w:p>
    <w:p w:rsidR="00560375" w:rsidRPr="00560375" w:rsidRDefault="00560375" w:rsidP="00560375">
      <w:pPr>
        <w:pStyle w:val="Heading3"/>
        <w:shd w:val="clear" w:color="auto" w:fill="FFFFFF"/>
        <w:spacing w:before="274" w:beforeAutospacing="0" w:after="206" w:afterAutospacing="0"/>
        <w:rPr>
          <w:b w:val="0"/>
          <w:bCs w:val="0"/>
          <w:color w:val="404040"/>
          <w:sz w:val="24"/>
          <w:szCs w:val="24"/>
        </w:rPr>
      </w:pPr>
      <w:r w:rsidRPr="00560375">
        <w:rPr>
          <w:rStyle w:val="Strong"/>
          <w:b/>
          <w:bCs/>
          <w:color w:val="404040"/>
          <w:sz w:val="24"/>
          <w:szCs w:val="24"/>
        </w:rPr>
        <w:t>Module 1: Legal Foundations &amp; Compliance (50 Hours)</w:t>
      </w:r>
    </w:p>
    <w:p w:rsidR="00560375" w:rsidRPr="00560375" w:rsidRDefault="00560375" w:rsidP="00560375">
      <w:pPr>
        <w:pStyle w:val="Heading4"/>
        <w:shd w:val="clear" w:color="auto" w:fill="FFFFFF"/>
        <w:spacing w:before="274" w:after="206" w:line="429" w:lineRule="atLeast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 w:rsidRPr="00560375">
        <w:rPr>
          <w:rStyle w:val="Strong"/>
          <w:rFonts w:ascii="Times New Roman" w:hAnsi="Times New Roman" w:cs="Times New Roman"/>
          <w:b/>
          <w:bCs/>
          <w:color w:val="404040"/>
          <w:sz w:val="24"/>
          <w:szCs w:val="24"/>
        </w:rPr>
        <w:t>Section 1.1: Regulatory Framework</w:t>
      </w:r>
    </w:p>
    <w:p w:rsidR="00560375" w:rsidRPr="00560375" w:rsidRDefault="00560375" w:rsidP="00EE6FF2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Fair Housing Act (7 protected classes)</w:t>
      </w:r>
    </w:p>
    <w:p w:rsidR="00560375" w:rsidRPr="00560375" w:rsidRDefault="00560375" w:rsidP="00EE6FF2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State-specific landlord-tenant statutes</w:t>
      </w:r>
    </w:p>
    <w:p w:rsidR="00560375" w:rsidRPr="00560375" w:rsidRDefault="00560375" w:rsidP="00EE6FF2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Local rent control/just cause ordinances</w:t>
      </w:r>
    </w:p>
    <w:p w:rsidR="00560375" w:rsidRPr="00560375" w:rsidRDefault="00560375" w:rsidP="00EE6FF2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ADA accessibility requirements</w:t>
      </w:r>
    </w:p>
    <w:p w:rsidR="00560375" w:rsidRPr="00560375" w:rsidRDefault="00560375" w:rsidP="00EE6FF2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Lead-based paint disclosure rules (EPA Section 1018)</w:t>
      </w:r>
    </w:p>
    <w:p w:rsidR="00560375" w:rsidRPr="00560375" w:rsidRDefault="00560375" w:rsidP="00560375">
      <w:pPr>
        <w:pStyle w:val="Heading4"/>
        <w:shd w:val="clear" w:color="auto" w:fill="FFFFFF"/>
        <w:spacing w:before="274" w:after="206" w:line="429" w:lineRule="atLeast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 w:rsidRPr="00560375">
        <w:rPr>
          <w:rStyle w:val="Strong"/>
          <w:rFonts w:ascii="Times New Roman" w:hAnsi="Times New Roman" w:cs="Times New Roman"/>
          <w:b/>
          <w:bCs/>
          <w:color w:val="404040"/>
          <w:sz w:val="24"/>
          <w:szCs w:val="24"/>
        </w:rPr>
        <w:t>Section 1.2: Contract Law</w:t>
      </w:r>
    </w:p>
    <w:p w:rsidR="00560375" w:rsidRPr="00560375" w:rsidRDefault="00560375" w:rsidP="00EE6FF2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Lease agreement anatomy (28 essential clauses)</w:t>
      </w:r>
    </w:p>
    <w:p w:rsidR="00560375" w:rsidRPr="00560375" w:rsidRDefault="00560375" w:rsidP="00EE6FF2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60" w:afterAutospacing="0" w:line="429" w:lineRule="atLeast"/>
        <w:ind w:left="0"/>
        <w:rPr>
          <w:color w:val="404040"/>
        </w:rPr>
      </w:pPr>
      <w:r w:rsidRPr="00560375">
        <w:rPr>
          <w:color w:val="404040"/>
        </w:rPr>
        <w:t>Custom addendum development:</w:t>
      </w:r>
    </w:p>
    <w:p w:rsidR="00560375" w:rsidRPr="00560375" w:rsidRDefault="00560375" w:rsidP="00EE6FF2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Pet policies</w:t>
      </w:r>
    </w:p>
    <w:p w:rsidR="00560375" w:rsidRPr="00560375" w:rsidRDefault="00560375" w:rsidP="00EE6FF2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Smoking restrictions</w:t>
      </w:r>
    </w:p>
    <w:p w:rsidR="00560375" w:rsidRPr="00560375" w:rsidRDefault="00560375" w:rsidP="00EE6FF2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Home business provisions</w:t>
      </w:r>
    </w:p>
    <w:p w:rsidR="00560375" w:rsidRPr="00560375" w:rsidRDefault="00560375" w:rsidP="00EE6FF2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Electronic signature compliance (ESIGN Act)</w:t>
      </w:r>
    </w:p>
    <w:p w:rsidR="00560375" w:rsidRPr="00560375" w:rsidRDefault="00560375" w:rsidP="00560375">
      <w:pPr>
        <w:pStyle w:val="Heading4"/>
        <w:shd w:val="clear" w:color="auto" w:fill="FFFFFF"/>
        <w:spacing w:before="274" w:after="206" w:line="429" w:lineRule="atLeast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 w:rsidRPr="00560375">
        <w:rPr>
          <w:rStyle w:val="Strong"/>
          <w:rFonts w:ascii="Times New Roman" w:hAnsi="Times New Roman" w:cs="Times New Roman"/>
          <w:b/>
          <w:bCs/>
          <w:color w:val="404040"/>
          <w:sz w:val="24"/>
          <w:szCs w:val="24"/>
        </w:rPr>
        <w:lastRenderedPageBreak/>
        <w:t>Section 1.3: Dispute Resolution</w:t>
      </w:r>
    </w:p>
    <w:p w:rsidR="00560375" w:rsidRPr="00560375" w:rsidRDefault="00560375" w:rsidP="00EE6FF2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Eviction timeline mapping (by jurisdiction)</w:t>
      </w:r>
    </w:p>
    <w:p w:rsidR="00560375" w:rsidRPr="00560375" w:rsidRDefault="00560375" w:rsidP="00EE6FF2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Small claims court procedures</w:t>
      </w:r>
    </w:p>
    <w:p w:rsidR="00560375" w:rsidRPr="00560375" w:rsidRDefault="00560375" w:rsidP="00EE6FF2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Alternative dispute resolution options</w:t>
      </w:r>
    </w:p>
    <w:p w:rsidR="00560375" w:rsidRPr="00560375" w:rsidRDefault="00560375" w:rsidP="00EE6FF2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Documentation best practices</w:t>
      </w:r>
    </w:p>
    <w:p w:rsidR="00560375" w:rsidRPr="00560375" w:rsidRDefault="00560375" w:rsidP="00560375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 w:rsidRPr="00560375">
        <w:rPr>
          <w:rStyle w:val="Strong"/>
          <w:color w:val="404040"/>
        </w:rPr>
        <w:t>Practical Application:</w:t>
      </w:r>
    </w:p>
    <w:p w:rsidR="00560375" w:rsidRPr="00560375" w:rsidRDefault="00560375" w:rsidP="00EE6FF2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Draft state-specific lease packages</w:t>
      </w:r>
    </w:p>
    <w:p w:rsidR="00560375" w:rsidRPr="00560375" w:rsidRDefault="00560375" w:rsidP="00EE6FF2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Conduct mock eviction proceedings</w:t>
      </w:r>
    </w:p>
    <w:p w:rsidR="00560375" w:rsidRPr="00560375" w:rsidRDefault="00560375" w:rsidP="00EE6FF2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Resolve fair housing complaint scenarios</w:t>
      </w:r>
    </w:p>
    <w:p w:rsidR="00560375" w:rsidRPr="00560375" w:rsidRDefault="00560375" w:rsidP="00560375">
      <w:pPr>
        <w:pStyle w:val="Heading3"/>
        <w:shd w:val="clear" w:color="auto" w:fill="FFFFFF"/>
        <w:spacing w:before="274" w:beforeAutospacing="0" w:after="206" w:afterAutospacing="0"/>
        <w:rPr>
          <w:b w:val="0"/>
          <w:bCs w:val="0"/>
          <w:color w:val="404040"/>
          <w:sz w:val="24"/>
          <w:szCs w:val="24"/>
        </w:rPr>
      </w:pPr>
      <w:r w:rsidRPr="00560375">
        <w:rPr>
          <w:rStyle w:val="Strong"/>
          <w:b/>
          <w:bCs/>
          <w:color w:val="404040"/>
          <w:sz w:val="24"/>
          <w:szCs w:val="24"/>
        </w:rPr>
        <w:t>Module 2: Financial Management (60 Hours)</w:t>
      </w:r>
    </w:p>
    <w:p w:rsidR="00560375" w:rsidRPr="00560375" w:rsidRDefault="00560375" w:rsidP="00560375">
      <w:pPr>
        <w:pStyle w:val="Heading4"/>
        <w:shd w:val="clear" w:color="auto" w:fill="FFFFFF"/>
        <w:spacing w:before="274" w:after="206" w:line="429" w:lineRule="atLeast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 w:rsidRPr="00560375">
        <w:rPr>
          <w:rStyle w:val="Strong"/>
          <w:rFonts w:ascii="Times New Roman" w:hAnsi="Times New Roman" w:cs="Times New Roman"/>
          <w:b/>
          <w:bCs/>
          <w:color w:val="404040"/>
          <w:sz w:val="24"/>
          <w:szCs w:val="24"/>
        </w:rPr>
        <w:t>Section 2.1: Property Economics</w:t>
      </w:r>
    </w:p>
    <w:p w:rsidR="00560375" w:rsidRPr="00560375" w:rsidRDefault="00560375" w:rsidP="00EE6FF2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60" w:afterAutospacing="0" w:line="429" w:lineRule="atLeast"/>
        <w:ind w:left="0"/>
        <w:rPr>
          <w:color w:val="404040"/>
        </w:rPr>
      </w:pPr>
      <w:r w:rsidRPr="00560375">
        <w:rPr>
          <w:color w:val="404040"/>
        </w:rPr>
        <w:t>Advanced underwriting metrics:</w:t>
      </w:r>
    </w:p>
    <w:p w:rsidR="00560375" w:rsidRPr="00560375" w:rsidRDefault="00560375" w:rsidP="00EE6FF2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Net Operating Income (NOI) analysis</w:t>
      </w:r>
    </w:p>
    <w:p w:rsidR="00560375" w:rsidRPr="00560375" w:rsidRDefault="00560375" w:rsidP="00EE6FF2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Debt Service Coverage Ratio (DSCR)</w:t>
      </w:r>
    </w:p>
    <w:p w:rsidR="00560375" w:rsidRPr="00560375" w:rsidRDefault="00560375" w:rsidP="00EE6FF2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Capitalization rate calculations</w:t>
      </w:r>
    </w:p>
    <w:p w:rsidR="00560375" w:rsidRPr="00560375" w:rsidRDefault="00560375" w:rsidP="00EE6FF2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Cash-on-cash return modeling</w:t>
      </w:r>
    </w:p>
    <w:p w:rsidR="00560375" w:rsidRPr="00560375" w:rsidRDefault="00560375" w:rsidP="00560375">
      <w:pPr>
        <w:pStyle w:val="Heading4"/>
        <w:shd w:val="clear" w:color="auto" w:fill="FFFFFF"/>
        <w:spacing w:before="274" w:after="206" w:line="429" w:lineRule="atLeast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 w:rsidRPr="00560375">
        <w:rPr>
          <w:rStyle w:val="Strong"/>
          <w:rFonts w:ascii="Times New Roman" w:hAnsi="Times New Roman" w:cs="Times New Roman"/>
          <w:b/>
          <w:bCs/>
          <w:color w:val="404040"/>
          <w:sz w:val="24"/>
          <w:szCs w:val="24"/>
        </w:rPr>
        <w:t>Section 2.2: Tax Strategy</w:t>
      </w:r>
    </w:p>
    <w:p w:rsidR="00560375" w:rsidRPr="00560375" w:rsidRDefault="00560375" w:rsidP="00EE6FF2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Cost segregation studies</w:t>
      </w:r>
    </w:p>
    <w:p w:rsidR="00560375" w:rsidRPr="00560375" w:rsidRDefault="00560375" w:rsidP="00EE6FF2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Passive activity loss rules</w:t>
      </w:r>
    </w:p>
    <w:p w:rsidR="00560375" w:rsidRPr="00560375" w:rsidRDefault="00560375" w:rsidP="00EE6FF2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Depreciation recapture planning</w:t>
      </w:r>
    </w:p>
    <w:p w:rsidR="00560375" w:rsidRPr="00560375" w:rsidRDefault="00560375" w:rsidP="00EE6FF2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lastRenderedPageBreak/>
        <w:t>1031 exchange execution</w:t>
      </w:r>
    </w:p>
    <w:p w:rsidR="00560375" w:rsidRPr="00560375" w:rsidRDefault="00560375" w:rsidP="00560375">
      <w:pPr>
        <w:pStyle w:val="Heading4"/>
        <w:shd w:val="clear" w:color="auto" w:fill="FFFFFF"/>
        <w:spacing w:before="274" w:after="206" w:line="429" w:lineRule="atLeast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 w:rsidRPr="00560375">
        <w:rPr>
          <w:rStyle w:val="Strong"/>
          <w:rFonts w:ascii="Times New Roman" w:hAnsi="Times New Roman" w:cs="Times New Roman"/>
          <w:b/>
          <w:bCs/>
          <w:color w:val="404040"/>
          <w:sz w:val="24"/>
          <w:szCs w:val="24"/>
        </w:rPr>
        <w:t>Section 2.3: Capital Markets</w:t>
      </w:r>
    </w:p>
    <w:p w:rsidR="00560375" w:rsidRPr="00560375" w:rsidRDefault="00560375" w:rsidP="00EE6FF2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Commercial loan underwriting</w:t>
      </w:r>
    </w:p>
    <w:p w:rsidR="00560375" w:rsidRPr="00560375" w:rsidRDefault="00560375" w:rsidP="00EE6FF2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Private money lending terms</w:t>
      </w:r>
    </w:p>
    <w:p w:rsidR="00560375" w:rsidRPr="00560375" w:rsidRDefault="00560375" w:rsidP="00EE6FF2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Seller financing structures</w:t>
      </w:r>
    </w:p>
    <w:p w:rsidR="00560375" w:rsidRPr="00560375" w:rsidRDefault="00560375" w:rsidP="00EE6FF2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Syndication basics</w:t>
      </w:r>
    </w:p>
    <w:p w:rsidR="00560375" w:rsidRPr="00560375" w:rsidRDefault="00560375" w:rsidP="00560375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 w:rsidRPr="00560375">
        <w:rPr>
          <w:rStyle w:val="Strong"/>
          <w:color w:val="404040"/>
        </w:rPr>
        <w:t>Case Study:</w:t>
      </w:r>
    </w:p>
    <w:p w:rsidR="00560375" w:rsidRPr="00560375" w:rsidRDefault="00560375" w:rsidP="00EE6FF2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60" w:afterAutospacing="0" w:line="429" w:lineRule="atLeast"/>
        <w:ind w:left="0"/>
        <w:rPr>
          <w:color w:val="404040"/>
        </w:rPr>
      </w:pPr>
      <w:r w:rsidRPr="00560375">
        <w:rPr>
          <w:color w:val="404040"/>
        </w:rPr>
        <w:t>Analyze a 24-unit apartment complex:</w:t>
      </w:r>
    </w:p>
    <w:p w:rsidR="00560375" w:rsidRPr="00560375" w:rsidRDefault="00560375" w:rsidP="00EE6FF2">
      <w:pPr>
        <w:pStyle w:val="ds-markdown-paragraph"/>
        <w:numPr>
          <w:ilvl w:val="1"/>
          <w:numId w:val="9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Develop 10-year pro forma</w:t>
      </w:r>
    </w:p>
    <w:p w:rsidR="00560375" w:rsidRPr="00560375" w:rsidRDefault="00560375" w:rsidP="00EE6FF2">
      <w:pPr>
        <w:pStyle w:val="ds-markdown-paragraph"/>
        <w:numPr>
          <w:ilvl w:val="1"/>
          <w:numId w:val="9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Model value-add renovation ROI</w:t>
      </w:r>
    </w:p>
    <w:p w:rsidR="00560375" w:rsidRPr="00560375" w:rsidRDefault="00560375" w:rsidP="00EE6FF2">
      <w:pPr>
        <w:pStyle w:val="ds-markdown-paragraph"/>
        <w:numPr>
          <w:ilvl w:val="1"/>
          <w:numId w:val="9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Structure optimal financing</w:t>
      </w:r>
    </w:p>
    <w:p w:rsidR="00560375" w:rsidRPr="00560375" w:rsidRDefault="00560375" w:rsidP="00560375">
      <w:pPr>
        <w:pStyle w:val="Heading3"/>
        <w:shd w:val="clear" w:color="auto" w:fill="FFFFFF"/>
        <w:spacing w:before="274" w:beforeAutospacing="0" w:after="206" w:afterAutospacing="0"/>
        <w:rPr>
          <w:b w:val="0"/>
          <w:bCs w:val="0"/>
          <w:color w:val="404040"/>
          <w:sz w:val="24"/>
          <w:szCs w:val="24"/>
        </w:rPr>
      </w:pPr>
      <w:r w:rsidRPr="00560375">
        <w:rPr>
          <w:rStyle w:val="Strong"/>
          <w:b/>
          <w:bCs/>
          <w:color w:val="404040"/>
          <w:sz w:val="24"/>
          <w:szCs w:val="24"/>
        </w:rPr>
        <w:t>Module 3: Operational Management (50 Hours)</w:t>
      </w:r>
    </w:p>
    <w:p w:rsidR="00560375" w:rsidRPr="00560375" w:rsidRDefault="00560375" w:rsidP="00560375">
      <w:pPr>
        <w:pStyle w:val="Heading4"/>
        <w:shd w:val="clear" w:color="auto" w:fill="FFFFFF"/>
        <w:spacing w:before="274" w:after="206" w:line="429" w:lineRule="atLeast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 w:rsidRPr="00560375">
        <w:rPr>
          <w:rStyle w:val="Strong"/>
          <w:rFonts w:ascii="Times New Roman" w:hAnsi="Times New Roman" w:cs="Times New Roman"/>
          <w:b/>
          <w:bCs/>
          <w:color w:val="404040"/>
          <w:sz w:val="24"/>
          <w:szCs w:val="24"/>
        </w:rPr>
        <w:t>Section 3.1: Tenant Lifecycle</w:t>
      </w:r>
    </w:p>
    <w:p w:rsidR="00560375" w:rsidRPr="00560375" w:rsidRDefault="00560375" w:rsidP="00EE6FF2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Digital marketing strategies</w:t>
      </w:r>
    </w:p>
    <w:p w:rsidR="00560375" w:rsidRPr="00560375" w:rsidRDefault="00560375" w:rsidP="00EE6FF2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Comprehensive screening protocols</w:t>
      </w:r>
    </w:p>
    <w:p w:rsidR="00560375" w:rsidRPr="00560375" w:rsidRDefault="00560375" w:rsidP="00EE6FF2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Move-in/move-out procedures</w:t>
      </w:r>
    </w:p>
    <w:p w:rsidR="00560375" w:rsidRPr="00560375" w:rsidRDefault="00560375" w:rsidP="00EE6FF2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Renewal incentive programs</w:t>
      </w:r>
    </w:p>
    <w:p w:rsidR="00560375" w:rsidRPr="00560375" w:rsidRDefault="00560375" w:rsidP="00560375">
      <w:pPr>
        <w:pStyle w:val="Heading4"/>
        <w:shd w:val="clear" w:color="auto" w:fill="FFFFFF"/>
        <w:spacing w:before="274" w:after="206" w:line="429" w:lineRule="atLeast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 w:rsidRPr="00560375">
        <w:rPr>
          <w:rStyle w:val="Strong"/>
          <w:rFonts w:ascii="Times New Roman" w:hAnsi="Times New Roman" w:cs="Times New Roman"/>
          <w:b/>
          <w:bCs/>
          <w:color w:val="404040"/>
          <w:sz w:val="24"/>
          <w:szCs w:val="24"/>
        </w:rPr>
        <w:t>Section 3.2: Maintenance Systems</w:t>
      </w:r>
    </w:p>
    <w:p w:rsidR="00560375" w:rsidRPr="00560375" w:rsidRDefault="00560375" w:rsidP="00EE6FF2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Preventive maintenance schedules</w:t>
      </w:r>
    </w:p>
    <w:p w:rsidR="00560375" w:rsidRPr="00560375" w:rsidRDefault="00560375" w:rsidP="00EE6FF2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Vendor management frameworks</w:t>
      </w:r>
    </w:p>
    <w:p w:rsidR="00560375" w:rsidRPr="00560375" w:rsidRDefault="00560375" w:rsidP="00EE6FF2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lastRenderedPageBreak/>
        <w:t>Capital expenditure planning</w:t>
      </w:r>
    </w:p>
    <w:p w:rsidR="00560375" w:rsidRPr="00560375" w:rsidRDefault="00560375" w:rsidP="00EE6FF2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Emergency response protocols</w:t>
      </w:r>
    </w:p>
    <w:p w:rsidR="00560375" w:rsidRPr="00560375" w:rsidRDefault="00560375" w:rsidP="00560375">
      <w:pPr>
        <w:pStyle w:val="Heading4"/>
        <w:shd w:val="clear" w:color="auto" w:fill="FFFFFF"/>
        <w:spacing w:before="274" w:after="206" w:line="429" w:lineRule="atLeast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 w:rsidRPr="00560375">
        <w:rPr>
          <w:rStyle w:val="Strong"/>
          <w:rFonts w:ascii="Times New Roman" w:hAnsi="Times New Roman" w:cs="Times New Roman"/>
          <w:b/>
          <w:bCs/>
          <w:color w:val="404040"/>
          <w:sz w:val="24"/>
          <w:szCs w:val="24"/>
        </w:rPr>
        <w:t>Section 3.3: Technology Integration</w:t>
      </w:r>
    </w:p>
    <w:p w:rsidR="00560375" w:rsidRPr="00560375" w:rsidRDefault="00560375" w:rsidP="00EE6FF2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Property management software</w:t>
      </w:r>
    </w:p>
    <w:p w:rsidR="00560375" w:rsidRPr="00560375" w:rsidRDefault="00560375" w:rsidP="00EE6FF2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Smart home technology</w:t>
      </w:r>
    </w:p>
    <w:p w:rsidR="00560375" w:rsidRPr="00560375" w:rsidRDefault="00560375" w:rsidP="00EE6FF2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Automated rent collection</w:t>
      </w:r>
    </w:p>
    <w:p w:rsidR="00560375" w:rsidRPr="00560375" w:rsidRDefault="00560375" w:rsidP="00EE6FF2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Digital documentation systems</w:t>
      </w:r>
    </w:p>
    <w:p w:rsidR="00560375" w:rsidRPr="00560375" w:rsidRDefault="00560375" w:rsidP="00560375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 w:rsidRPr="00560375">
        <w:rPr>
          <w:rStyle w:val="Strong"/>
          <w:color w:val="404040"/>
        </w:rPr>
        <w:t>Hands-On Labs:</w:t>
      </w:r>
    </w:p>
    <w:p w:rsidR="00560375" w:rsidRPr="00560375" w:rsidRDefault="00560375" w:rsidP="00EE6FF2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 xml:space="preserve">Configure </w:t>
      </w:r>
      <w:proofErr w:type="spellStart"/>
      <w:r w:rsidRPr="00560375">
        <w:rPr>
          <w:color w:val="404040"/>
        </w:rPr>
        <w:t>AppFolio</w:t>
      </w:r>
      <w:proofErr w:type="spellEnd"/>
      <w:r w:rsidRPr="00560375">
        <w:rPr>
          <w:color w:val="404040"/>
        </w:rPr>
        <w:t>/</w:t>
      </w:r>
      <w:proofErr w:type="spellStart"/>
      <w:r w:rsidRPr="00560375">
        <w:rPr>
          <w:color w:val="404040"/>
        </w:rPr>
        <w:t>Buildium</w:t>
      </w:r>
      <w:proofErr w:type="spellEnd"/>
      <w:r w:rsidRPr="00560375">
        <w:rPr>
          <w:color w:val="404040"/>
        </w:rPr>
        <w:t xml:space="preserve"> platforms</w:t>
      </w:r>
    </w:p>
    <w:p w:rsidR="00560375" w:rsidRPr="00560375" w:rsidRDefault="00560375" w:rsidP="00EE6FF2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Implement smart lock systems</w:t>
      </w:r>
    </w:p>
    <w:p w:rsidR="00560375" w:rsidRPr="00560375" w:rsidRDefault="00560375" w:rsidP="00EE6FF2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Develop maintenance workflow automations</w:t>
      </w:r>
    </w:p>
    <w:p w:rsidR="00560375" w:rsidRPr="00560375" w:rsidRDefault="00560375" w:rsidP="00560375">
      <w:pPr>
        <w:pStyle w:val="Heading3"/>
        <w:shd w:val="clear" w:color="auto" w:fill="FFFFFF"/>
        <w:spacing w:before="274" w:beforeAutospacing="0" w:after="206" w:afterAutospacing="0"/>
        <w:rPr>
          <w:b w:val="0"/>
          <w:bCs w:val="0"/>
          <w:color w:val="404040"/>
          <w:sz w:val="24"/>
          <w:szCs w:val="24"/>
        </w:rPr>
      </w:pPr>
      <w:r w:rsidRPr="00560375">
        <w:rPr>
          <w:rStyle w:val="Strong"/>
          <w:b/>
          <w:bCs/>
          <w:color w:val="404040"/>
          <w:sz w:val="24"/>
          <w:szCs w:val="24"/>
        </w:rPr>
        <w:t>Module 4: Portfolio Growth (40 Hours)</w:t>
      </w:r>
    </w:p>
    <w:p w:rsidR="00560375" w:rsidRPr="00560375" w:rsidRDefault="00560375" w:rsidP="00560375">
      <w:pPr>
        <w:pStyle w:val="Heading4"/>
        <w:shd w:val="clear" w:color="auto" w:fill="FFFFFF"/>
        <w:spacing w:before="274" w:after="206" w:line="429" w:lineRule="atLeast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 w:rsidRPr="00560375">
        <w:rPr>
          <w:rStyle w:val="Strong"/>
          <w:rFonts w:ascii="Times New Roman" w:hAnsi="Times New Roman" w:cs="Times New Roman"/>
          <w:b/>
          <w:bCs/>
          <w:color w:val="404040"/>
          <w:sz w:val="24"/>
          <w:szCs w:val="24"/>
        </w:rPr>
        <w:t>Section 4.1: Value Creation</w:t>
      </w:r>
    </w:p>
    <w:p w:rsidR="00560375" w:rsidRPr="00560375" w:rsidRDefault="00560375" w:rsidP="00EE6FF2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Unit renovation ROI analysis</w:t>
      </w:r>
    </w:p>
    <w:p w:rsidR="00560375" w:rsidRPr="00560375" w:rsidRDefault="00560375" w:rsidP="00EE6FF2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Common area upgrades</w:t>
      </w:r>
    </w:p>
    <w:p w:rsidR="00560375" w:rsidRPr="00560375" w:rsidRDefault="00560375" w:rsidP="00EE6FF2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Amenity additions</w:t>
      </w:r>
    </w:p>
    <w:p w:rsidR="00560375" w:rsidRPr="00560375" w:rsidRDefault="00560375" w:rsidP="00EE6FF2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Operational efficiency improvements</w:t>
      </w:r>
    </w:p>
    <w:p w:rsidR="00560375" w:rsidRPr="00560375" w:rsidRDefault="00560375" w:rsidP="00560375">
      <w:pPr>
        <w:pStyle w:val="Heading4"/>
        <w:shd w:val="clear" w:color="auto" w:fill="FFFFFF"/>
        <w:spacing w:before="274" w:after="206" w:line="429" w:lineRule="atLeast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 w:rsidRPr="00560375">
        <w:rPr>
          <w:rStyle w:val="Strong"/>
          <w:rFonts w:ascii="Times New Roman" w:hAnsi="Times New Roman" w:cs="Times New Roman"/>
          <w:b/>
          <w:bCs/>
          <w:color w:val="404040"/>
          <w:sz w:val="24"/>
          <w:szCs w:val="24"/>
        </w:rPr>
        <w:t>Section 4.2: Acquisition Strategies</w:t>
      </w:r>
    </w:p>
    <w:p w:rsidR="00560375" w:rsidRPr="00560375" w:rsidRDefault="00560375" w:rsidP="00EE6FF2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Off-market deal sourcing</w:t>
      </w:r>
    </w:p>
    <w:p w:rsidR="00560375" w:rsidRPr="00560375" w:rsidRDefault="00560375" w:rsidP="00EE6FF2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Probate/estate sales</w:t>
      </w:r>
    </w:p>
    <w:p w:rsidR="00560375" w:rsidRPr="00560375" w:rsidRDefault="00560375" w:rsidP="00EE6FF2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lastRenderedPageBreak/>
        <w:t>Distressed asset evaluation</w:t>
      </w:r>
    </w:p>
    <w:p w:rsidR="00560375" w:rsidRPr="00560375" w:rsidRDefault="00560375" w:rsidP="00EE6FF2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Commercial/residential hybrids</w:t>
      </w:r>
    </w:p>
    <w:p w:rsidR="00560375" w:rsidRPr="00560375" w:rsidRDefault="00560375" w:rsidP="00560375">
      <w:pPr>
        <w:pStyle w:val="Heading4"/>
        <w:shd w:val="clear" w:color="auto" w:fill="FFFFFF"/>
        <w:spacing w:before="274" w:after="206" w:line="429" w:lineRule="atLeast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 w:rsidRPr="00560375">
        <w:rPr>
          <w:rStyle w:val="Strong"/>
          <w:rFonts w:ascii="Times New Roman" w:hAnsi="Times New Roman" w:cs="Times New Roman"/>
          <w:b/>
          <w:bCs/>
          <w:color w:val="404040"/>
          <w:sz w:val="24"/>
          <w:szCs w:val="24"/>
        </w:rPr>
        <w:t>Section 4.3: Institutional Transition</w:t>
      </w:r>
    </w:p>
    <w:p w:rsidR="00560375" w:rsidRPr="00560375" w:rsidRDefault="00560375" w:rsidP="00EE6FF2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Portfolio loan underwriting</w:t>
      </w:r>
    </w:p>
    <w:p w:rsidR="00560375" w:rsidRPr="00560375" w:rsidRDefault="00560375" w:rsidP="00EE6FF2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Property management company selection</w:t>
      </w:r>
    </w:p>
    <w:p w:rsidR="00560375" w:rsidRPr="00560375" w:rsidRDefault="00560375" w:rsidP="00EE6FF2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Professional staff hiring</w:t>
      </w:r>
    </w:p>
    <w:p w:rsidR="00560375" w:rsidRPr="00560375" w:rsidRDefault="00560375" w:rsidP="00EE6FF2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Exit strategy planning</w:t>
      </w:r>
    </w:p>
    <w:p w:rsidR="00560375" w:rsidRPr="00560375" w:rsidRDefault="00560375" w:rsidP="00560375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 w:rsidRPr="00560375">
        <w:rPr>
          <w:rStyle w:val="Strong"/>
          <w:color w:val="404040"/>
        </w:rPr>
        <w:t>Simulation Exercise:</w:t>
      </w:r>
    </w:p>
    <w:p w:rsidR="00560375" w:rsidRPr="00560375" w:rsidRDefault="00560375" w:rsidP="00EE6FF2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Negotiate $5M portfolio acquisition</w:t>
      </w:r>
    </w:p>
    <w:p w:rsidR="00560375" w:rsidRPr="00560375" w:rsidRDefault="00560375" w:rsidP="00EE6FF2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Structure 1031 exchange</w:t>
      </w:r>
    </w:p>
    <w:p w:rsidR="00560375" w:rsidRPr="00560375" w:rsidRDefault="00560375" w:rsidP="00EE6FF2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Present to mock investment committee</w:t>
      </w:r>
    </w:p>
    <w:p w:rsidR="00560375" w:rsidRPr="00560375" w:rsidRDefault="00560375" w:rsidP="00560375">
      <w:pPr>
        <w:pStyle w:val="Heading2"/>
        <w:shd w:val="clear" w:color="auto" w:fill="FFFFFF"/>
        <w:spacing w:before="274" w:after="206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 w:rsidRPr="00560375">
        <w:rPr>
          <w:rStyle w:val="Strong"/>
          <w:rFonts w:ascii="Times New Roman" w:hAnsi="Times New Roman" w:cs="Times New Roman"/>
          <w:b/>
          <w:bCs/>
          <w:color w:val="404040"/>
          <w:sz w:val="24"/>
          <w:szCs w:val="24"/>
        </w:rPr>
        <w:t>Capstone Project Requirements</w:t>
      </w:r>
    </w:p>
    <w:p w:rsidR="00560375" w:rsidRPr="00560375" w:rsidRDefault="00560375" w:rsidP="00560375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 w:rsidRPr="00560375">
        <w:rPr>
          <w:rStyle w:val="Strong"/>
          <w:color w:val="404040"/>
        </w:rPr>
        <w:t>Phase 1: Market Analysis</w:t>
      </w:r>
    </w:p>
    <w:p w:rsidR="00560375" w:rsidRPr="00560375" w:rsidRDefault="00560375" w:rsidP="00EE6FF2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Demographic trends</w:t>
      </w:r>
    </w:p>
    <w:p w:rsidR="00560375" w:rsidRPr="00560375" w:rsidRDefault="00560375" w:rsidP="00EE6FF2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Employment drivers</w:t>
      </w:r>
    </w:p>
    <w:p w:rsidR="00560375" w:rsidRPr="00560375" w:rsidRDefault="00560375" w:rsidP="00EE6FF2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Supply/demand dynamics</w:t>
      </w:r>
    </w:p>
    <w:p w:rsidR="00560375" w:rsidRPr="00560375" w:rsidRDefault="00560375" w:rsidP="00EE6FF2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Competitive positioning</w:t>
      </w:r>
    </w:p>
    <w:p w:rsidR="00560375" w:rsidRPr="00560375" w:rsidRDefault="00560375" w:rsidP="00560375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 w:rsidRPr="00560375">
        <w:rPr>
          <w:rStyle w:val="Strong"/>
          <w:color w:val="404040"/>
        </w:rPr>
        <w:t>Phase 2: Investment Thesis</w:t>
      </w:r>
    </w:p>
    <w:p w:rsidR="00560375" w:rsidRPr="00560375" w:rsidRDefault="00560375" w:rsidP="00EE6FF2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Target asset class</w:t>
      </w:r>
    </w:p>
    <w:p w:rsidR="00560375" w:rsidRPr="00560375" w:rsidRDefault="00560375" w:rsidP="00EE6FF2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Acquisition criteria</w:t>
      </w:r>
    </w:p>
    <w:p w:rsidR="00560375" w:rsidRPr="00560375" w:rsidRDefault="00560375" w:rsidP="00EE6FF2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lastRenderedPageBreak/>
        <w:t>Value-add strategy</w:t>
      </w:r>
    </w:p>
    <w:p w:rsidR="00560375" w:rsidRPr="00560375" w:rsidRDefault="00560375" w:rsidP="00EE6FF2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Risk assessment</w:t>
      </w:r>
    </w:p>
    <w:p w:rsidR="00560375" w:rsidRPr="00560375" w:rsidRDefault="00560375" w:rsidP="00560375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 w:rsidRPr="00560375">
        <w:rPr>
          <w:rStyle w:val="Strong"/>
          <w:color w:val="404040"/>
        </w:rPr>
        <w:t>Phase 3: Implementation Plan</w:t>
      </w:r>
    </w:p>
    <w:p w:rsidR="00560375" w:rsidRPr="00560375" w:rsidRDefault="00560375" w:rsidP="00EE6FF2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Financing structure</w:t>
      </w:r>
    </w:p>
    <w:p w:rsidR="00560375" w:rsidRPr="00560375" w:rsidRDefault="00560375" w:rsidP="00EE6FF2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Management protocol</w:t>
      </w:r>
    </w:p>
    <w:p w:rsidR="00560375" w:rsidRPr="00560375" w:rsidRDefault="00560375" w:rsidP="00EE6FF2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Renovation timeline</w:t>
      </w:r>
    </w:p>
    <w:p w:rsidR="00560375" w:rsidRPr="00560375" w:rsidRDefault="00560375" w:rsidP="00EE6FF2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Performance metrics</w:t>
      </w:r>
    </w:p>
    <w:p w:rsidR="00560375" w:rsidRPr="00560375" w:rsidRDefault="00560375" w:rsidP="00560375">
      <w:pPr>
        <w:pStyle w:val="Heading2"/>
        <w:shd w:val="clear" w:color="auto" w:fill="FFFFFF"/>
        <w:spacing w:before="274" w:after="206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 w:rsidRPr="00560375">
        <w:rPr>
          <w:rStyle w:val="Strong"/>
          <w:rFonts w:ascii="Times New Roman" w:hAnsi="Times New Roman" w:cs="Times New Roman"/>
          <w:b/>
          <w:bCs/>
          <w:color w:val="404040"/>
          <w:sz w:val="24"/>
          <w:szCs w:val="24"/>
        </w:rPr>
        <w:t>Instructional Methodology</w:t>
      </w:r>
    </w:p>
    <w:p w:rsidR="00560375" w:rsidRPr="00560375" w:rsidRDefault="00560375" w:rsidP="00EE6FF2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rStyle w:val="Strong"/>
          <w:color w:val="404040"/>
        </w:rPr>
        <w:t>Live Deal Rooms:</w:t>
      </w:r>
      <w:r w:rsidRPr="00560375">
        <w:rPr>
          <w:color w:val="404040"/>
        </w:rPr>
        <w:t> Analyze actual property transactions</w:t>
      </w:r>
    </w:p>
    <w:p w:rsidR="00560375" w:rsidRPr="00560375" w:rsidRDefault="00560375" w:rsidP="00EE6FF2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rStyle w:val="Strong"/>
          <w:color w:val="404040"/>
        </w:rPr>
        <w:t>Expert Panels:</w:t>
      </w:r>
      <w:r w:rsidRPr="00560375">
        <w:rPr>
          <w:color w:val="404040"/>
        </w:rPr>
        <w:t> Q&amp;A with attorneys, lenders, PMs</w:t>
      </w:r>
    </w:p>
    <w:p w:rsidR="00560375" w:rsidRPr="00560375" w:rsidRDefault="00560375" w:rsidP="00EE6FF2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rStyle w:val="Strong"/>
          <w:color w:val="404040"/>
        </w:rPr>
        <w:t>Site Visits:</w:t>
      </w:r>
      <w:r w:rsidRPr="00560375">
        <w:rPr>
          <w:color w:val="404040"/>
        </w:rPr>
        <w:t> Operational property tours</w:t>
      </w:r>
    </w:p>
    <w:p w:rsidR="00560375" w:rsidRPr="00560375" w:rsidRDefault="00560375" w:rsidP="00EE6FF2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rStyle w:val="Strong"/>
          <w:color w:val="404040"/>
        </w:rPr>
        <w:t>Simulation Labs:</w:t>
      </w:r>
      <w:r w:rsidRPr="00560375">
        <w:rPr>
          <w:color w:val="404040"/>
        </w:rPr>
        <w:t xml:space="preserve"> Hands-on </w:t>
      </w:r>
      <w:proofErr w:type="spellStart"/>
      <w:r w:rsidRPr="00560375">
        <w:rPr>
          <w:color w:val="404040"/>
        </w:rPr>
        <w:t>proptech</w:t>
      </w:r>
      <w:proofErr w:type="spellEnd"/>
      <w:r w:rsidRPr="00560375">
        <w:rPr>
          <w:color w:val="404040"/>
        </w:rPr>
        <w:t xml:space="preserve"> training</w:t>
      </w:r>
    </w:p>
    <w:p w:rsidR="00560375" w:rsidRPr="00560375" w:rsidRDefault="00560375" w:rsidP="00560375">
      <w:pPr>
        <w:pStyle w:val="Heading2"/>
        <w:shd w:val="clear" w:color="auto" w:fill="FFFFFF"/>
        <w:spacing w:before="274" w:after="206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 w:rsidRPr="00560375">
        <w:rPr>
          <w:rStyle w:val="Strong"/>
          <w:rFonts w:ascii="Times New Roman" w:hAnsi="Times New Roman" w:cs="Times New Roman"/>
          <w:b/>
          <w:bCs/>
          <w:color w:val="404040"/>
          <w:sz w:val="24"/>
          <w:szCs w:val="24"/>
        </w:rPr>
        <w:t>Assessment Framework</w:t>
      </w:r>
    </w:p>
    <w:p w:rsidR="00560375" w:rsidRPr="00560375" w:rsidRDefault="00560375" w:rsidP="00EE6FF2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rStyle w:val="Strong"/>
          <w:color w:val="404040"/>
        </w:rPr>
        <w:t>Weekly Case Studies (30%)</w:t>
      </w:r>
    </w:p>
    <w:p w:rsidR="00560375" w:rsidRPr="00560375" w:rsidRDefault="00560375" w:rsidP="00EE6FF2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rStyle w:val="Strong"/>
          <w:color w:val="404040"/>
        </w:rPr>
        <w:t>Practical Competencies (40%)</w:t>
      </w:r>
    </w:p>
    <w:p w:rsidR="00560375" w:rsidRPr="00560375" w:rsidRDefault="00560375" w:rsidP="00EE6FF2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rStyle w:val="Strong"/>
          <w:color w:val="404040"/>
        </w:rPr>
        <w:t>Capstone Project (30%)</w:t>
      </w:r>
    </w:p>
    <w:p w:rsidR="00560375" w:rsidRPr="00560375" w:rsidRDefault="00560375" w:rsidP="00560375">
      <w:pPr>
        <w:pStyle w:val="Heading2"/>
        <w:shd w:val="clear" w:color="auto" w:fill="FFFFFF"/>
        <w:spacing w:before="274" w:after="206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 w:rsidRPr="00560375">
        <w:rPr>
          <w:rStyle w:val="Strong"/>
          <w:rFonts w:ascii="Times New Roman" w:hAnsi="Times New Roman" w:cs="Times New Roman"/>
          <w:b/>
          <w:bCs/>
          <w:color w:val="404040"/>
          <w:sz w:val="24"/>
          <w:szCs w:val="24"/>
        </w:rPr>
        <w:t>Certification Benefits</w:t>
      </w:r>
    </w:p>
    <w:p w:rsidR="00560375" w:rsidRPr="00560375" w:rsidRDefault="00560375" w:rsidP="00560375">
      <w:pPr>
        <w:pStyle w:val="Heading3"/>
        <w:shd w:val="clear" w:color="auto" w:fill="FFFFFF"/>
        <w:spacing w:before="274" w:beforeAutospacing="0" w:after="206" w:afterAutospacing="0"/>
        <w:rPr>
          <w:b w:val="0"/>
          <w:bCs w:val="0"/>
          <w:color w:val="404040"/>
          <w:sz w:val="24"/>
          <w:szCs w:val="24"/>
        </w:rPr>
      </w:pPr>
      <w:r w:rsidRPr="00560375">
        <w:rPr>
          <w:rStyle w:val="Strong"/>
          <w:b/>
          <w:bCs/>
          <w:color w:val="404040"/>
          <w:sz w:val="24"/>
          <w:szCs w:val="24"/>
        </w:rPr>
        <w:t>Professional Recognition</w:t>
      </w:r>
    </w:p>
    <w:p w:rsidR="00560375" w:rsidRPr="00560375" w:rsidRDefault="00560375" w:rsidP="00EE6FF2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Accredited certification</w:t>
      </w:r>
    </w:p>
    <w:p w:rsidR="00560375" w:rsidRPr="00560375" w:rsidRDefault="00560375" w:rsidP="00EE6FF2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Digital credentials</w:t>
      </w:r>
    </w:p>
    <w:p w:rsidR="00560375" w:rsidRPr="00560375" w:rsidRDefault="00560375" w:rsidP="00EE6FF2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lastRenderedPageBreak/>
        <w:t>Directory listing</w:t>
      </w:r>
    </w:p>
    <w:p w:rsidR="00560375" w:rsidRPr="00560375" w:rsidRDefault="00560375" w:rsidP="00560375">
      <w:pPr>
        <w:pStyle w:val="Heading3"/>
        <w:shd w:val="clear" w:color="auto" w:fill="FFFFFF"/>
        <w:spacing w:before="274" w:beforeAutospacing="0" w:after="206" w:afterAutospacing="0"/>
        <w:rPr>
          <w:b w:val="0"/>
          <w:bCs w:val="0"/>
          <w:color w:val="404040"/>
          <w:sz w:val="24"/>
          <w:szCs w:val="24"/>
        </w:rPr>
      </w:pPr>
      <w:r w:rsidRPr="00560375">
        <w:rPr>
          <w:rStyle w:val="Strong"/>
          <w:b/>
          <w:bCs/>
          <w:color w:val="404040"/>
          <w:sz w:val="24"/>
          <w:szCs w:val="24"/>
        </w:rPr>
        <w:t>Exclusive Resources</w:t>
      </w:r>
    </w:p>
    <w:p w:rsidR="00560375" w:rsidRPr="00560375" w:rsidRDefault="00560375" w:rsidP="00EE6FF2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State-specific legal forms library ($3,500 value)</w:t>
      </w:r>
    </w:p>
    <w:p w:rsidR="00560375" w:rsidRPr="00560375" w:rsidRDefault="00560375" w:rsidP="00EE6FF2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Financial model templates</w:t>
      </w:r>
    </w:p>
    <w:p w:rsidR="00560375" w:rsidRPr="00560375" w:rsidRDefault="00560375" w:rsidP="00EE6FF2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Vendor discount network</w:t>
      </w:r>
    </w:p>
    <w:p w:rsidR="00560375" w:rsidRPr="00560375" w:rsidRDefault="00560375" w:rsidP="00560375">
      <w:pPr>
        <w:pStyle w:val="Heading3"/>
        <w:shd w:val="clear" w:color="auto" w:fill="FFFFFF"/>
        <w:spacing w:before="274" w:beforeAutospacing="0" w:after="206" w:afterAutospacing="0"/>
        <w:rPr>
          <w:b w:val="0"/>
          <w:bCs w:val="0"/>
          <w:color w:val="404040"/>
          <w:sz w:val="24"/>
          <w:szCs w:val="24"/>
        </w:rPr>
      </w:pPr>
      <w:r w:rsidRPr="00560375">
        <w:rPr>
          <w:rStyle w:val="Strong"/>
          <w:b/>
          <w:bCs/>
          <w:color w:val="404040"/>
          <w:sz w:val="24"/>
          <w:szCs w:val="24"/>
        </w:rPr>
        <w:t>Continuing Education</w:t>
      </w:r>
    </w:p>
    <w:p w:rsidR="00560375" w:rsidRPr="00560375" w:rsidRDefault="00560375" w:rsidP="00EE6FF2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Annual legal update symposium</w:t>
      </w:r>
    </w:p>
    <w:p w:rsidR="00560375" w:rsidRPr="00560375" w:rsidRDefault="00560375" w:rsidP="00EE6FF2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Market trend briefings</w:t>
      </w:r>
    </w:p>
    <w:p w:rsidR="00560375" w:rsidRPr="00560375" w:rsidRDefault="00560375" w:rsidP="00EE6FF2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Investor networking forums</w:t>
      </w:r>
    </w:p>
    <w:p w:rsidR="00560375" w:rsidRPr="00560375" w:rsidRDefault="00560375" w:rsidP="00560375">
      <w:pPr>
        <w:pStyle w:val="Heading2"/>
        <w:shd w:val="clear" w:color="auto" w:fill="FFFFFF"/>
        <w:spacing w:before="274" w:after="206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 w:rsidRPr="00560375">
        <w:rPr>
          <w:rStyle w:val="Strong"/>
          <w:rFonts w:ascii="Times New Roman" w:hAnsi="Times New Roman" w:cs="Times New Roman"/>
          <w:b/>
          <w:bCs/>
          <w:color w:val="404040"/>
          <w:sz w:val="24"/>
          <w:szCs w:val="24"/>
        </w:rPr>
        <w:t>Admission Requirements</w:t>
      </w:r>
    </w:p>
    <w:p w:rsidR="00560375" w:rsidRPr="00560375" w:rsidRDefault="00560375" w:rsidP="00EE6FF2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Minimum 2 years real estate experience</w:t>
      </w:r>
    </w:p>
    <w:p w:rsidR="00560375" w:rsidRPr="00560375" w:rsidRDefault="00560375" w:rsidP="00EE6FF2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Portfolio review (or simulated portfolio)</w:t>
      </w:r>
    </w:p>
    <w:p w:rsidR="00560375" w:rsidRPr="00560375" w:rsidRDefault="00560375" w:rsidP="00EE6FF2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Interview with program director</w:t>
      </w:r>
    </w:p>
    <w:p w:rsidR="00560375" w:rsidRPr="00560375" w:rsidRDefault="00560375" w:rsidP="00560375">
      <w:pPr>
        <w:pStyle w:val="Heading2"/>
        <w:shd w:val="clear" w:color="auto" w:fill="FFFFFF"/>
        <w:spacing w:before="274" w:after="206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 w:rsidRPr="00560375">
        <w:rPr>
          <w:rStyle w:val="Strong"/>
          <w:rFonts w:ascii="Times New Roman" w:hAnsi="Times New Roman" w:cs="Times New Roman"/>
          <w:b/>
          <w:bCs/>
          <w:color w:val="404040"/>
          <w:sz w:val="24"/>
          <w:szCs w:val="24"/>
        </w:rPr>
        <w:t>Program Completion</w:t>
      </w:r>
    </w:p>
    <w:p w:rsidR="00560375" w:rsidRPr="00560375" w:rsidRDefault="00560375" w:rsidP="00EE6FF2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200 instructional hours</w:t>
      </w:r>
    </w:p>
    <w:p w:rsidR="00560375" w:rsidRPr="00560375" w:rsidRDefault="00560375" w:rsidP="00EE6FF2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85% minimum competency score</w:t>
      </w:r>
    </w:p>
    <w:p w:rsidR="00560375" w:rsidRPr="00560375" w:rsidRDefault="00560375" w:rsidP="00EE6FF2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Capstone project approval</w:t>
      </w:r>
    </w:p>
    <w:p w:rsidR="00560375" w:rsidRPr="00560375" w:rsidRDefault="00560375" w:rsidP="00EE6FF2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color w:val="404040"/>
        </w:rPr>
        <w:t>Ethics pledge</w:t>
      </w:r>
    </w:p>
    <w:p w:rsidR="00560375" w:rsidRPr="00560375" w:rsidRDefault="00560375" w:rsidP="00560375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 w:rsidRPr="00560375">
        <w:rPr>
          <w:rStyle w:val="Strong"/>
          <w:color w:val="404040"/>
        </w:rPr>
        <w:t>Certification Valid For:</w:t>
      </w:r>
      <w:r w:rsidRPr="00560375">
        <w:rPr>
          <w:color w:val="404040"/>
        </w:rPr>
        <w:t> 3 years (24 CE hours required for renewal)</w:t>
      </w:r>
    </w:p>
    <w:p w:rsidR="00560375" w:rsidRPr="00560375" w:rsidRDefault="00560375" w:rsidP="00560375">
      <w:pPr>
        <w:spacing w:before="480" w:after="480"/>
        <w:rPr>
          <w:rFonts w:ascii="Times New Roman" w:hAnsi="Times New Roman" w:cs="Times New Roman"/>
          <w:sz w:val="24"/>
          <w:szCs w:val="24"/>
        </w:rPr>
      </w:pPr>
      <w:r w:rsidRPr="00560375">
        <w:rPr>
          <w:rFonts w:ascii="Times New Roman" w:hAnsi="Times New Roman" w:cs="Times New Roman"/>
          <w:sz w:val="24"/>
          <w:szCs w:val="24"/>
        </w:rPr>
        <w:pict>
          <v:rect id="_x0000_i1025" style="width:0;height:.75pt" o:hralign="center" o:hrstd="t" o:hrnoshade="t" o:hr="t" fillcolor="#404040" stroked="f"/>
        </w:pict>
      </w:r>
    </w:p>
    <w:p w:rsidR="00560375" w:rsidRPr="00560375" w:rsidRDefault="00560375" w:rsidP="00560375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 w:rsidRPr="00560375">
        <w:rPr>
          <w:rStyle w:val="Strong"/>
          <w:color w:val="404040"/>
        </w:rPr>
        <w:lastRenderedPageBreak/>
        <w:t xml:space="preserve">© </w:t>
      </w:r>
      <w:proofErr w:type="spellStart"/>
      <w:r w:rsidRPr="00560375">
        <w:rPr>
          <w:rStyle w:val="Strong"/>
          <w:color w:val="404040"/>
        </w:rPr>
        <w:t>Promuex</w:t>
      </w:r>
      <w:proofErr w:type="spellEnd"/>
      <w:r w:rsidRPr="00560375">
        <w:rPr>
          <w:rStyle w:val="Strong"/>
          <w:color w:val="404040"/>
        </w:rPr>
        <w:t xml:space="preserve"> | Creating the Next Generation of Property Professionals</w:t>
      </w:r>
    </w:p>
    <w:p w:rsidR="00560375" w:rsidRPr="00560375" w:rsidRDefault="00560375" w:rsidP="00560375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 w:rsidRPr="00560375">
        <w:rPr>
          <w:color w:val="404040"/>
        </w:rPr>
        <w:t>This program delivers unprecedented depth through:</w:t>
      </w:r>
    </w:p>
    <w:p w:rsidR="00560375" w:rsidRPr="00560375" w:rsidRDefault="00560375" w:rsidP="00EE6FF2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rStyle w:val="Strong"/>
          <w:color w:val="404040"/>
        </w:rPr>
        <w:t>Regulatory Precision:</w:t>
      </w:r>
      <w:r w:rsidRPr="00560375">
        <w:rPr>
          <w:color w:val="404040"/>
        </w:rPr>
        <w:t> Avoid costly legal missteps</w:t>
      </w:r>
    </w:p>
    <w:p w:rsidR="00560375" w:rsidRPr="00560375" w:rsidRDefault="00560375" w:rsidP="00EE6FF2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rStyle w:val="Strong"/>
          <w:color w:val="404040"/>
        </w:rPr>
        <w:t>Financial Sophistication:</w:t>
      </w:r>
      <w:r w:rsidRPr="00560375">
        <w:rPr>
          <w:color w:val="404040"/>
        </w:rPr>
        <w:t> Underwrite like institutional investors</w:t>
      </w:r>
    </w:p>
    <w:p w:rsidR="00560375" w:rsidRPr="00560375" w:rsidRDefault="00560375" w:rsidP="00EE6FF2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560375">
        <w:rPr>
          <w:rStyle w:val="Strong"/>
          <w:color w:val="404040"/>
        </w:rPr>
        <w:t>Operational Mastery:</w:t>
      </w:r>
      <w:r w:rsidRPr="00560375">
        <w:rPr>
          <w:color w:val="404040"/>
        </w:rPr>
        <w:t> Implement Fortune 500-grade systems</w:t>
      </w:r>
    </w:p>
    <w:p w:rsidR="00553FEB" w:rsidRPr="00560375" w:rsidRDefault="00553FEB" w:rsidP="0072064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53FEB" w:rsidRPr="0056037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FF2" w:rsidRDefault="00EE6FF2" w:rsidP="00553FEB">
      <w:pPr>
        <w:spacing w:after="0" w:line="240" w:lineRule="auto"/>
      </w:pPr>
      <w:r>
        <w:separator/>
      </w:r>
    </w:p>
  </w:endnote>
  <w:endnote w:type="continuationSeparator" w:id="0">
    <w:p w:rsidR="00EE6FF2" w:rsidRDefault="00EE6FF2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B92AD0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</w:t>
    </w:r>
    <w:r w:rsidR="008F7CD3">
      <w:rPr>
        <w:rStyle w:val="Strong"/>
      </w:rPr>
      <w:t>Canada (</w:t>
    </w:r>
    <w:hyperlink r:id="rId1" w:tgtFrame="_new" w:history="1">
      <w:r w:rsidR="008F7CD3">
        <w:rPr>
          <w:rStyle w:val="Hyperlink"/>
          <w:b/>
          <w:bCs/>
        </w:rPr>
        <w:t>https://promuex.ca/</w:t>
      </w:r>
    </w:hyperlink>
    <w:r w:rsidR="008F7CD3"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FF2" w:rsidRDefault="00EE6FF2" w:rsidP="00553FEB">
      <w:pPr>
        <w:spacing w:after="0" w:line="240" w:lineRule="auto"/>
      </w:pPr>
      <w:r>
        <w:separator/>
      </w:r>
    </w:p>
  </w:footnote>
  <w:footnote w:type="continuationSeparator" w:id="0">
    <w:p w:rsidR="00EE6FF2" w:rsidRDefault="00EE6FF2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EE6FF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EE6FF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EE6FF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3FD"/>
    <w:multiLevelType w:val="multilevel"/>
    <w:tmpl w:val="1822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01696"/>
    <w:multiLevelType w:val="multilevel"/>
    <w:tmpl w:val="56EA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586FE1"/>
    <w:multiLevelType w:val="multilevel"/>
    <w:tmpl w:val="9F32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186EC4"/>
    <w:multiLevelType w:val="multilevel"/>
    <w:tmpl w:val="36C8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CE15D0"/>
    <w:multiLevelType w:val="multilevel"/>
    <w:tmpl w:val="E75E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B47419"/>
    <w:multiLevelType w:val="multilevel"/>
    <w:tmpl w:val="8E64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D108FB"/>
    <w:multiLevelType w:val="multilevel"/>
    <w:tmpl w:val="52BE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DB659E"/>
    <w:multiLevelType w:val="multilevel"/>
    <w:tmpl w:val="69C8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F73D8D"/>
    <w:multiLevelType w:val="multilevel"/>
    <w:tmpl w:val="1A5E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7B623B"/>
    <w:multiLevelType w:val="multilevel"/>
    <w:tmpl w:val="7A92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9A1635"/>
    <w:multiLevelType w:val="multilevel"/>
    <w:tmpl w:val="3878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A245A3"/>
    <w:multiLevelType w:val="multilevel"/>
    <w:tmpl w:val="8DA0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9937AD"/>
    <w:multiLevelType w:val="multilevel"/>
    <w:tmpl w:val="63BE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781572"/>
    <w:multiLevelType w:val="multilevel"/>
    <w:tmpl w:val="B0FA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855D96"/>
    <w:multiLevelType w:val="multilevel"/>
    <w:tmpl w:val="1996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8C09BF"/>
    <w:multiLevelType w:val="multilevel"/>
    <w:tmpl w:val="4928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AC1CCD"/>
    <w:multiLevelType w:val="multilevel"/>
    <w:tmpl w:val="4230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A3377C"/>
    <w:multiLevelType w:val="multilevel"/>
    <w:tmpl w:val="B800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A31F21"/>
    <w:multiLevelType w:val="multilevel"/>
    <w:tmpl w:val="C3D0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4241BF"/>
    <w:multiLevelType w:val="multilevel"/>
    <w:tmpl w:val="E606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1173E0"/>
    <w:multiLevelType w:val="multilevel"/>
    <w:tmpl w:val="5596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4300DB"/>
    <w:multiLevelType w:val="multilevel"/>
    <w:tmpl w:val="0734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5B5D5C"/>
    <w:multiLevelType w:val="multilevel"/>
    <w:tmpl w:val="93883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C41D31"/>
    <w:multiLevelType w:val="multilevel"/>
    <w:tmpl w:val="1CDEF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071FA1"/>
    <w:multiLevelType w:val="multilevel"/>
    <w:tmpl w:val="1B0C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5C75B4"/>
    <w:multiLevelType w:val="multilevel"/>
    <w:tmpl w:val="A4A0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7E0C70"/>
    <w:multiLevelType w:val="multilevel"/>
    <w:tmpl w:val="BEFA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274845"/>
    <w:multiLevelType w:val="multilevel"/>
    <w:tmpl w:val="6CA8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0"/>
  </w:num>
  <w:num w:numId="3">
    <w:abstractNumId w:val="17"/>
  </w:num>
  <w:num w:numId="4">
    <w:abstractNumId w:val="2"/>
  </w:num>
  <w:num w:numId="5">
    <w:abstractNumId w:val="13"/>
  </w:num>
  <w:num w:numId="6">
    <w:abstractNumId w:val="11"/>
  </w:num>
  <w:num w:numId="7">
    <w:abstractNumId w:val="19"/>
  </w:num>
  <w:num w:numId="8">
    <w:abstractNumId w:val="8"/>
  </w:num>
  <w:num w:numId="9">
    <w:abstractNumId w:val="1"/>
  </w:num>
  <w:num w:numId="10">
    <w:abstractNumId w:val="26"/>
  </w:num>
  <w:num w:numId="11">
    <w:abstractNumId w:val="12"/>
  </w:num>
  <w:num w:numId="12">
    <w:abstractNumId w:val="16"/>
  </w:num>
  <w:num w:numId="13">
    <w:abstractNumId w:val="24"/>
  </w:num>
  <w:num w:numId="14">
    <w:abstractNumId w:val="18"/>
  </w:num>
  <w:num w:numId="15">
    <w:abstractNumId w:val="15"/>
  </w:num>
  <w:num w:numId="16">
    <w:abstractNumId w:val="6"/>
  </w:num>
  <w:num w:numId="17">
    <w:abstractNumId w:val="20"/>
  </w:num>
  <w:num w:numId="18">
    <w:abstractNumId w:val="5"/>
  </w:num>
  <w:num w:numId="19">
    <w:abstractNumId w:val="3"/>
  </w:num>
  <w:num w:numId="20">
    <w:abstractNumId w:val="25"/>
  </w:num>
  <w:num w:numId="21">
    <w:abstractNumId w:val="14"/>
  </w:num>
  <w:num w:numId="22">
    <w:abstractNumId w:val="21"/>
  </w:num>
  <w:num w:numId="23">
    <w:abstractNumId w:val="10"/>
  </w:num>
  <w:num w:numId="24">
    <w:abstractNumId w:val="27"/>
  </w:num>
  <w:num w:numId="25">
    <w:abstractNumId w:val="7"/>
  </w:num>
  <w:num w:numId="26">
    <w:abstractNumId w:val="9"/>
  </w:num>
  <w:num w:numId="27">
    <w:abstractNumId w:val="23"/>
  </w:num>
  <w:num w:numId="28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205A9E"/>
    <w:rsid w:val="002209AE"/>
    <w:rsid w:val="002250CA"/>
    <w:rsid w:val="00231EFF"/>
    <w:rsid w:val="0040795A"/>
    <w:rsid w:val="004317C7"/>
    <w:rsid w:val="00461EC4"/>
    <w:rsid w:val="004C2BB4"/>
    <w:rsid w:val="005148B4"/>
    <w:rsid w:val="00553FEB"/>
    <w:rsid w:val="00560375"/>
    <w:rsid w:val="005E28E3"/>
    <w:rsid w:val="0069592A"/>
    <w:rsid w:val="0072064D"/>
    <w:rsid w:val="00745FE9"/>
    <w:rsid w:val="00876195"/>
    <w:rsid w:val="008A28F7"/>
    <w:rsid w:val="008F7CD3"/>
    <w:rsid w:val="00901F86"/>
    <w:rsid w:val="00A50EEE"/>
    <w:rsid w:val="00B92AD0"/>
    <w:rsid w:val="00BC583E"/>
    <w:rsid w:val="00BF77A3"/>
    <w:rsid w:val="00CB3F58"/>
    <w:rsid w:val="00D07EC0"/>
    <w:rsid w:val="00D346F0"/>
    <w:rsid w:val="00D531D1"/>
    <w:rsid w:val="00D868A4"/>
    <w:rsid w:val="00E863A8"/>
    <w:rsid w:val="00EE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64D"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s-markdown-paragraph">
    <w:name w:val="ds-markdown-paragraph"/>
    <w:basedOn w:val="Normal"/>
    <w:rsid w:val="00720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64D"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s-markdown-paragraph">
    <w:name w:val="ds-markdown-paragraph"/>
    <w:basedOn w:val="Normal"/>
    <w:rsid w:val="00720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5</cp:revision>
  <dcterms:created xsi:type="dcterms:W3CDTF">2025-05-23T06:56:00Z</dcterms:created>
  <dcterms:modified xsi:type="dcterms:W3CDTF">2025-05-23T07:04:00Z</dcterms:modified>
</cp:coreProperties>
</file>